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7A" w:rsidRPr="00B46B7A" w:rsidRDefault="00B46B7A" w:rsidP="00B46B7A">
      <w:pPr>
        <w:spacing w:before="100" w:beforeAutospacing="1" w:after="100" w:afterAutospacing="1" w:line="240" w:lineRule="auto"/>
        <w:jc w:val="both"/>
        <w:outlineLvl w:val="0"/>
        <w:rPr>
          <w:rFonts w:ascii="Arial" w:eastAsia="Times New Roman" w:hAnsi="Arial" w:cs="Arial"/>
          <w:b/>
          <w:bCs/>
          <w:color w:val="000000"/>
          <w:kern w:val="36"/>
          <w:sz w:val="40"/>
          <w:szCs w:val="48"/>
        </w:rPr>
      </w:pPr>
      <w:r w:rsidRPr="00B46B7A">
        <w:rPr>
          <w:rFonts w:ascii="Arial" w:eastAsia="Times New Roman" w:hAnsi="Arial" w:cs="Arial"/>
          <w:b/>
          <w:bCs/>
          <w:color w:val="000000"/>
          <w:kern w:val="36"/>
          <w:sz w:val="40"/>
          <w:szCs w:val="48"/>
        </w:rPr>
        <w:t>Assistance Paying Your Bills</w:t>
      </w:r>
    </w:p>
    <w:p w:rsidR="00B46B7A" w:rsidRPr="00B46B7A" w:rsidRDefault="00B46B7A" w:rsidP="00B46B7A">
      <w:pPr>
        <w:spacing w:before="168" w:after="216" w:line="240" w:lineRule="auto"/>
        <w:jc w:val="both"/>
        <w:rPr>
          <w:rFonts w:ascii="Arial" w:eastAsia="Times New Roman" w:hAnsi="Arial" w:cs="Arial"/>
          <w:color w:val="000000"/>
          <w:sz w:val="20"/>
          <w:szCs w:val="24"/>
        </w:rPr>
      </w:pPr>
      <w:r w:rsidRPr="00B46B7A">
        <w:rPr>
          <w:rFonts w:ascii="Arial" w:eastAsia="Times New Roman" w:hAnsi="Arial" w:cs="Arial"/>
          <w:color w:val="000000"/>
          <w:sz w:val="20"/>
          <w:szCs w:val="24"/>
        </w:rPr>
        <w:t>Some utilities have shareholder-funded emergency payment assistance programs for their customers, which provide cash assistance to help offset the costs of heating and cooling their homes. There are also other plans that may be of assistance to you in managing your energy bills.</w:t>
      </w:r>
    </w:p>
    <w:p w:rsidR="00B46B7A" w:rsidRPr="00B46B7A" w:rsidRDefault="00B46B7A" w:rsidP="00B46B7A">
      <w:pPr>
        <w:pBdr>
          <w:bottom w:val="dotted" w:sz="12" w:space="0" w:color="999999"/>
        </w:pBdr>
        <w:spacing w:before="210" w:after="210" w:line="240" w:lineRule="auto"/>
        <w:jc w:val="both"/>
        <w:outlineLvl w:val="1"/>
        <w:rPr>
          <w:rFonts w:ascii="Georgia" w:eastAsia="Times New Roman" w:hAnsi="Georgia" w:cs="Arial"/>
          <w:b/>
          <w:bCs/>
          <w:color w:val="253B5A"/>
          <w:sz w:val="28"/>
          <w:szCs w:val="33"/>
        </w:rPr>
      </w:pPr>
      <w:r w:rsidRPr="00B46B7A">
        <w:rPr>
          <w:rFonts w:ascii="Georgia" w:eastAsia="Times New Roman" w:hAnsi="Georgia" w:cs="Arial"/>
          <w:b/>
          <w:bCs/>
          <w:color w:val="253B5A"/>
          <w:sz w:val="28"/>
          <w:szCs w:val="33"/>
        </w:rPr>
        <w:t>PG&amp;E</w:t>
      </w:r>
    </w:p>
    <w:p w:rsidR="00B46B7A" w:rsidRPr="00B46B7A" w:rsidRDefault="00B46B7A" w:rsidP="00B46B7A">
      <w:pPr>
        <w:spacing w:after="0" w:line="240" w:lineRule="auto"/>
        <w:jc w:val="both"/>
        <w:rPr>
          <w:rFonts w:ascii="Arial" w:eastAsia="Times New Roman" w:hAnsi="Arial" w:cs="Arial"/>
          <w:color w:val="000000"/>
          <w:sz w:val="20"/>
          <w:szCs w:val="24"/>
        </w:rPr>
      </w:pPr>
      <w:r w:rsidRPr="00B46B7A">
        <w:rPr>
          <w:rFonts w:ascii="Arial" w:eastAsia="Times New Roman" w:hAnsi="Arial" w:cs="Arial"/>
          <w:b/>
          <w:bCs/>
          <w:color w:val="000000"/>
          <w:sz w:val="20"/>
          <w:szCs w:val="24"/>
        </w:rPr>
        <w:t xml:space="preserve">Relief for Energy Assistance </w:t>
      </w:r>
      <w:proofErr w:type="gramStart"/>
      <w:r w:rsidRPr="00B46B7A">
        <w:rPr>
          <w:rFonts w:ascii="Arial" w:eastAsia="Times New Roman" w:hAnsi="Arial" w:cs="Arial"/>
          <w:b/>
          <w:bCs/>
          <w:color w:val="000000"/>
          <w:sz w:val="20"/>
          <w:szCs w:val="24"/>
        </w:rPr>
        <w:t>Through</w:t>
      </w:r>
      <w:proofErr w:type="gramEnd"/>
      <w:r w:rsidRPr="00B46B7A">
        <w:rPr>
          <w:rFonts w:ascii="Arial" w:eastAsia="Times New Roman" w:hAnsi="Arial" w:cs="Arial"/>
          <w:b/>
          <w:bCs/>
          <w:color w:val="000000"/>
          <w:sz w:val="20"/>
          <w:szCs w:val="24"/>
        </w:rPr>
        <w:t xml:space="preserve"> Community Help (REACH)</w:t>
      </w:r>
      <w:r w:rsidRPr="00B46B7A">
        <w:rPr>
          <w:rFonts w:ascii="Arial" w:eastAsia="Times New Roman" w:hAnsi="Arial" w:cs="Arial"/>
          <w:color w:val="000000"/>
          <w:sz w:val="20"/>
          <w:szCs w:val="24"/>
        </w:rPr>
        <w:t> The </w:t>
      </w:r>
      <w:hyperlink r:id="rId5" w:history="1">
        <w:r w:rsidRPr="00B46B7A">
          <w:rPr>
            <w:rFonts w:ascii="Arial" w:eastAsia="Times New Roman" w:hAnsi="Arial" w:cs="Arial"/>
            <w:color w:val="8B3F1D"/>
            <w:sz w:val="20"/>
            <w:szCs w:val="24"/>
            <w:u w:val="single"/>
          </w:rPr>
          <w:t>Relief for Energy Assistance through Community Help (REACH)</w:t>
        </w:r>
      </w:hyperlink>
      <w:r w:rsidRPr="00B46B7A">
        <w:rPr>
          <w:rFonts w:ascii="Arial" w:eastAsia="Times New Roman" w:hAnsi="Arial" w:cs="Arial"/>
          <w:color w:val="000000"/>
          <w:sz w:val="20"/>
          <w:szCs w:val="24"/>
        </w:rPr>
        <w:t> program is for low-income customers who experience severe, uncontrollable or unplanned hardships and are unable to pay for their energy needs. </w:t>
      </w:r>
      <w:r w:rsidRPr="00B46B7A">
        <w:rPr>
          <w:rFonts w:ascii="Arial" w:eastAsia="Times New Roman" w:hAnsi="Arial" w:cs="Arial"/>
          <w:b/>
          <w:bCs/>
          <w:color w:val="000000"/>
          <w:sz w:val="20"/>
          <w:szCs w:val="24"/>
        </w:rPr>
        <w:t>Balanced Payment Plan Program (BPP)</w:t>
      </w:r>
      <w:r w:rsidRPr="00B46B7A">
        <w:rPr>
          <w:rFonts w:ascii="Arial" w:eastAsia="Times New Roman" w:hAnsi="Arial" w:cs="Arial"/>
          <w:color w:val="000000"/>
          <w:sz w:val="20"/>
          <w:szCs w:val="24"/>
        </w:rPr>
        <w:t> The </w:t>
      </w:r>
      <w:hyperlink r:id="rId6" w:history="1">
        <w:r w:rsidRPr="00B46B7A">
          <w:rPr>
            <w:rFonts w:ascii="Arial" w:eastAsia="Times New Roman" w:hAnsi="Arial" w:cs="Arial"/>
            <w:color w:val="8B3F1D"/>
            <w:sz w:val="20"/>
            <w:szCs w:val="24"/>
            <w:u w:val="single"/>
          </w:rPr>
          <w:t>Balanced Payment Plan Program (BPP)</w:t>
        </w:r>
      </w:hyperlink>
      <w:r w:rsidRPr="00B46B7A">
        <w:rPr>
          <w:rFonts w:ascii="Arial" w:eastAsia="Times New Roman" w:hAnsi="Arial" w:cs="Arial"/>
          <w:color w:val="000000"/>
          <w:sz w:val="20"/>
          <w:szCs w:val="24"/>
        </w:rPr>
        <w:t> allows you to pay the same amount every month by averaging your household energy costs for the last 12 months.</w:t>
      </w:r>
    </w:p>
    <w:p w:rsidR="00B46B7A" w:rsidRPr="00B46B7A" w:rsidRDefault="00B46B7A" w:rsidP="00B46B7A">
      <w:pPr>
        <w:pBdr>
          <w:bottom w:val="dotted" w:sz="12" w:space="0" w:color="999999"/>
        </w:pBdr>
        <w:spacing w:before="210" w:after="210" w:line="240" w:lineRule="auto"/>
        <w:jc w:val="both"/>
        <w:outlineLvl w:val="1"/>
        <w:rPr>
          <w:rFonts w:ascii="Georgia" w:eastAsia="Times New Roman" w:hAnsi="Georgia" w:cs="Arial"/>
          <w:b/>
          <w:bCs/>
          <w:color w:val="253B5A"/>
          <w:sz w:val="28"/>
          <w:szCs w:val="33"/>
        </w:rPr>
      </w:pPr>
      <w:r w:rsidRPr="00B46B7A">
        <w:rPr>
          <w:rFonts w:ascii="Georgia" w:eastAsia="Times New Roman" w:hAnsi="Georgia" w:cs="Arial"/>
          <w:b/>
          <w:bCs/>
          <w:color w:val="253B5A"/>
          <w:sz w:val="28"/>
          <w:szCs w:val="33"/>
        </w:rPr>
        <w:t>Edison</w:t>
      </w:r>
    </w:p>
    <w:p w:rsidR="00B46B7A" w:rsidRPr="00B46B7A" w:rsidRDefault="00B46B7A" w:rsidP="00B46B7A">
      <w:pPr>
        <w:spacing w:before="168" w:after="216" w:line="240" w:lineRule="auto"/>
        <w:jc w:val="both"/>
        <w:rPr>
          <w:rFonts w:ascii="Arial" w:eastAsia="Times New Roman" w:hAnsi="Arial" w:cs="Arial"/>
          <w:color w:val="000000"/>
          <w:sz w:val="20"/>
          <w:szCs w:val="24"/>
        </w:rPr>
      </w:pPr>
      <w:r w:rsidRPr="00B46B7A">
        <w:rPr>
          <w:rFonts w:ascii="Arial" w:eastAsia="Times New Roman" w:hAnsi="Arial" w:cs="Arial"/>
          <w:b/>
          <w:bCs/>
          <w:color w:val="000000"/>
          <w:sz w:val="20"/>
          <w:szCs w:val="24"/>
        </w:rPr>
        <w:t>Level Pay Plan</w:t>
      </w:r>
      <w:r w:rsidRPr="00B46B7A">
        <w:rPr>
          <w:rFonts w:ascii="Arial" w:eastAsia="Times New Roman" w:hAnsi="Arial" w:cs="Arial"/>
          <w:color w:val="000000"/>
          <w:sz w:val="20"/>
          <w:szCs w:val="24"/>
        </w:rPr>
        <w:t> Edison's </w:t>
      </w:r>
      <w:hyperlink r:id="rId7" w:history="1">
        <w:r w:rsidRPr="00B46B7A">
          <w:rPr>
            <w:rFonts w:ascii="Arial" w:eastAsia="Times New Roman" w:hAnsi="Arial" w:cs="Arial"/>
            <w:color w:val="8B3F1D"/>
            <w:sz w:val="20"/>
            <w:szCs w:val="24"/>
            <w:u w:val="single"/>
          </w:rPr>
          <w:t>Level Pay Plan</w:t>
        </w:r>
      </w:hyperlink>
      <w:r w:rsidRPr="00B46B7A">
        <w:rPr>
          <w:rFonts w:ascii="Arial" w:eastAsia="Times New Roman" w:hAnsi="Arial" w:cs="Arial"/>
          <w:color w:val="000000"/>
          <w:sz w:val="20"/>
          <w:szCs w:val="24"/>
        </w:rPr>
        <w:t> allows you to budget the cost of electric service into equal monthly payments, by spreading high summer or winter bills over an entire year. </w:t>
      </w:r>
      <w:r w:rsidRPr="00B46B7A">
        <w:rPr>
          <w:rFonts w:ascii="Arial" w:eastAsia="Times New Roman" w:hAnsi="Arial" w:cs="Arial"/>
          <w:b/>
          <w:bCs/>
          <w:color w:val="000000"/>
          <w:sz w:val="20"/>
          <w:szCs w:val="24"/>
        </w:rPr>
        <w:t>Energy Assistance Fund</w:t>
      </w:r>
      <w:r w:rsidRPr="00B46B7A">
        <w:rPr>
          <w:rFonts w:ascii="Arial" w:eastAsia="Times New Roman" w:hAnsi="Arial" w:cs="Arial"/>
          <w:color w:val="000000"/>
          <w:sz w:val="20"/>
          <w:szCs w:val="24"/>
        </w:rPr>
        <w:t> Edison's </w:t>
      </w:r>
      <w:hyperlink r:id="rId8" w:history="1">
        <w:r w:rsidRPr="00B46B7A">
          <w:rPr>
            <w:rFonts w:ascii="Arial" w:eastAsia="Times New Roman" w:hAnsi="Arial" w:cs="Arial"/>
            <w:color w:val="8B3F1D"/>
            <w:sz w:val="20"/>
            <w:szCs w:val="24"/>
            <w:u w:val="single"/>
          </w:rPr>
          <w:t>Energy Assistance Fund</w:t>
        </w:r>
      </w:hyperlink>
      <w:r w:rsidRPr="00B46B7A">
        <w:rPr>
          <w:rFonts w:ascii="Arial" w:eastAsia="Times New Roman" w:hAnsi="Arial" w:cs="Arial"/>
          <w:color w:val="000000"/>
          <w:sz w:val="20"/>
          <w:szCs w:val="24"/>
        </w:rPr>
        <w:t> helps low-income customers in financial hardship with electric bills. </w:t>
      </w:r>
      <w:r w:rsidRPr="00B46B7A">
        <w:rPr>
          <w:rFonts w:ascii="Arial" w:eastAsia="Times New Roman" w:hAnsi="Arial" w:cs="Arial"/>
          <w:b/>
          <w:bCs/>
          <w:color w:val="000000"/>
          <w:sz w:val="20"/>
          <w:szCs w:val="24"/>
        </w:rPr>
        <w:t>Residential Summer Discount Program</w:t>
      </w:r>
      <w:r w:rsidRPr="00B46B7A">
        <w:rPr>
          <w:rFonts w:ascii="Arial" w:eastAsia="Times New Roman" w:hAnsi="Arial" w:cs="Arial"/>
          <w:color w:val="000000"/>
          <w:sz w:val="20"/>
          <w:szCs w:val="24"/>
        </w:rPr>
        <w:t> Edison's </w:t>
      </w:r>
      <w:hyperlink r:id="rId9" w:history="1">
        <w:r w:rsidRPr="00B46B7A">
          <w:rPr>
            <w:rFonts w:ascii="Arial" w:eastAsia="Times New Roman" w:hAnsi="Arial" w:cs="Arial"/>
            <w:color w:val="8B3F1D"/>
            <w:sz w:val="20"/>
            <w:szCs w:val="24"/>
            <w:u w:val="single"/>
          </w:rPr>
          <w:t>Residential Summer Discount Program</w:t>
        </w:r>
      </w:hyperlink>
      <w:r w:rsidRPr="00B46B7A">
        <w:rPr>
          <w:rFonts w:ascii="Arial" w:eastAsia="Times New Roman" w:hAnsi="Arial" w:cs="Arial"/>
          <w:color w:val="000000"/>
          <w:sz w:val="20"/>
          <w:szCs w:val="24"/>
        </w:rPr>
        <w:t> provides credit for customers who permit Edison to install and use a device that allows Edison to remotely turn off the customer's air conditioner at high-peak hours. The amount of credit received is dependent upon how often the customer lets Edison use the device.</w:t>
      </w:r>
    </w:p>
    <w:p w:rsidR="00B46B7A" w:rsidRPr="00B46B7A" w:rsidRDefault="00B46B7A" w:rsidP="00B46B7A">
      <w:pPr>
        <w:pBdr>
          <w:bottom w:val="dotted" w:sz="12" w:space="0" w:color="999999"/>
        </w:pBdr>
        <w:spacing w:before="210" w:after="210" w:line="240" w:lineRule="auto"/>
        <w:jc w:val="both"/>
        <w:outlineLvl w:val="1"/>
        <w:rPr>
          <w:rFonts w:ascii="Georgia" w:eastAsia="Times New Roman" w:hAnsi="Georgia" w:cs="Arial"/>
          <w:b/>
          <w:bCs/>
          <w:color w:val="253B5A"/>
          <w:sz w:val="28"/>
          <w:szCs w:val="33"/>
        </w:rPr>
      </w:pPr>
      <w:r w:rsidRPr="00B46B7A">
        <w:rPr>
          <w:rFonts w:ascii="Georgia" w:eastAsia="Times New Roman" w:hAnsi="Georgia" w:cs="Arial"/>
          <w:b/>
          <w:bCs/>
          <w:color w:val="253B5A"/>
          <w:sz w:val="28"/>
          <w:szCs w:val="33"/>
        </w:rPr>
        <w:t>Southern California Gas Company</w:t>
      </w:r>
    </w:p>
    <w:p w:rsidR="00B46B7A" w:rsidRPr="00B46B7A" w:rsidRDefault="00B46B7A" w:rsidP="00B46B7A">
      <w:pPr>
        <w:spacing w:before="168" w:after="216" w:line="240" w:lineRule="auto"/>
        <w:jc w:val="both"/>
        <w:rPr>
          <w:rFonts w:ascii="Arial" w:eastAsia="Times New Roman" w:hAnsi="Arial" w:cs="Arial"/>
          <w:color w:val="000000"/>
          <w:sz w:val="20"/>
          <w:szCs w:val="24"/>
        </w:rPr>
      </w:pPr>
      <w:r w:rsidRPr="00B46B7A">
        <w:rPr>
          <w:rFonts w:ascii="Arial" w:eastAsia="Times New Roman" w:hAnsi="Arial" w:cs="Arial"/>
          <w:color w:val="000000"/>
          <w:sz w:val="20"/>
          <w:szCs w:val="24"/>
        </w:rPr>
        <w:t>The </w:t>
      </w:r>
      <w:hyperlink r:id="rId10" w:tgtFrame="_blank" w:tooltip="Gas Assistance Fund (GAF)" w:history="1">
        <w:r w:rsidRPr="00B46B7A">
          <w:rPr>
            <w:rFonts w:ascii="Arial" w:eastAsia="Times New Roman" w:hAnsi="Arial" w:cs="Arial"/>
            <w:b/>
            <w:bCs/>
            <w:color w:val="8B3F1D"/>
            <w:sz w:val="20"/>
            <w:szCs w:val="24"/>
            <w:u w:val="single"/>
          </w:rPr>
          <w:t>Gas Assistance Fund (GAF)</w:t>
        </w:r>
      </w:hyperlink>
      <w:r w:rsidRPr="00B46B7A">
        <w:rPr>
          <w:rFonts w:ascii="Arial" w:eastAsia="Times New Roman" w:hAnsi="Arial" w:cs="Arial"/>
          <w:color w:val="000000"/>
          <w:sz w:val="20"/>
          <w:szCs w:val="24"/>
        </w:rPr>
        <w:t>  helps qualifying customers who are having difficulty paying their gas bills. This program, administrated by the United Way of Greater Los Angeles, is funded by donations from customers, shareholders and employees of The Gas Company®  </w:t>
      </w:r>
    </w:p>
    <w:p w:rsidR="00B46B7A" w:rsidRPr="00B46B7A" w:rsidRDefault="00B46B7A" w:rsidP="00B46B7A">
      <w:pPr>
        <w:spacing w:before="168" w:after="216" w:line="240" w:lineRule="auto"/>
        <w:jc w:val="both"/>
        <w:rPr>
          <w:rFonts w:ascii="Arial" w:eastAsia="Times New Roman" w:hAnsi="Arial" w:cs="Arial"/>
          <w:color w:val="000000"/>
          <w:sz w:val="20"/>
          <w:szCs w:val="24"/>
        </w:rPr>
      </w:pPr>
      <w:r w:rsidRPr="00B46B7A">
        <w:rPr>
          <w:rFonts w:ascii="Arial" w:eastAsia="Times New Roman" w:hAnsi="Arial" w:cs="Arial"/>
          <w:color w:val="000000"/>
          <w:sz w:val="20"/>
          <w:szCs w:val="24"/>
        </w:rPr>
        <w:t>The </w:t>
      </w:r>
      <w:hyperlink r:id="rId11" w:tgtFrame="_blank" w:tooltip="Level Pay Plan" w:history="1">
        <w:r w:rsidRPr="00B46B7A">
          <w:rPr>
            <w:rFonts w:ascii="Arial" w:eastAsia="Times New Roman" w:hAnsi="Arial" w:cs="Arial"/>
            <w:b/>
            <w:bCs/>
            <w:color w:val="8B3F1D"/>
            <w:sz w:val="20"/>
            <w:szCs w:val="24"/>
            <w:u w:val="single"/>
          </w:rPr>
          <w:t>Level Pay Plan</w:t>
        </w:r>
      </w:hyperlink>
      <w:r w:rsidRPr="00B46B7A">
        <w:rPr>
          <w:rFonts w:ascii="Arial" w:eastAsia="Times New Roman" w:hAnsi="Arial" w:cs="Arial"/>
          <w:color w:val="000000"/>
          <w:sz w:val="20"/>
          <w:szCs w:val="24"/>
        </w:rPr>
        <w:t>  helps smooth out the ups and downs of monthly gas bill by averaging annual gas consumption and costs over a 12-month period. You pay an average bill amount each month instead of actual charges.</w:t>
      </w:r>
    </w:p>
    <w:p w:rsidR="00B46B7A" w:rsidRPr="00B46B7A" w:rsidRDefault="00B46B7A" w:rsidP="00B46B7A">
      <w:pPr>
        <w:pBdr>
          <w:bottom w:val="dotted" w:sz="12" w:space="0" w:color="999999"/>
        </w:pBdr>
        <w:spacing w:before="210" w:after="210" w:line="240" w:lineRule="auto"/>
        <w:jc w:val="both"/>
        <w:outlineLvl w:val="1"/>
        <w:rPr>
          <w:rFonts w:ascii="Georgia" w:eastAsia="Times New Roman" w:hAnsi="Georgia" w:cs="Arial"/>
          <w:b/>
          <w:bCs/>
          <w:color w:val="253B5A"/>
          <w:sz w:val="28"/>
          <w:szCs w:val="33"/>
        </w:rPr>
      </w:pPr>
      <w:r w:rsidRPr="00B46B7A">
        <w:rPr>
          <w:rFonts w:ascii="Georgia" w:eastAsia="Times New Roman" w:hAnsi="Georgia" w:cs="Arial"/>
          <w:b/>
          <w:bCs/>
          <w:color w:val="253B5A"/>
          <w:sz w:val="28"/>
          <w:szCs w:val="33"/>
        </w:rPr>
        <w:t>SDG&amp;E</w:t>
      </w:r>
    </w:p>
    <w:p w:rsidR="00B46B7A" w:rsidRPr="00B46B7A" w:rsidRDefault="00B46B7A" w:rsidP="00B46B7A">
      <w:pPr>
        <w:spacing w:after="0" w:line="240" w:lineRule="auto"/>
        <w:jc w:val="both"/>
        <w:rPr>
          <w:rFonts w:ascii="Arial" w:eastAsia="Times New Roman" w:hAnsi="Arial" w:cs="Arial"/>
          <w:b/>
          <w:bCs/>
          <w:color w:val="000000"/>
          <w:sz w:val="20"/>
          <w:szCs w:val="24"/>
        </w:rPr>
      </w:pPr>
      <w:r w:rsidRPr="00B46B7A">
        <w:rPr>
          <w:rFonts w:ascii="Arial" w:eastAsia="Times New Roman" w:hAnsi="Arial" w:cs="Arial"/>
          <w:b/>
          <w:bCs/>
          <w:color w:val="000000"/>
          <w:sz w:val="20"/>
          <w:szCs w:val="24"/>
        </w:rPr>
        <w:t>Neighbor to Neighbor</w:t>
      </w:r>
      <w:r w:rsidRPr="00B46B7A">
        <w:rPr>
          <w:rFonts w:ascii="Arial" w:eastAsia="Times New Roman" w:hAnsi="Arial" w:cs="Arial"/>
          <w:color w:val="000000"/>
          <w:sz w:val="20"/>
          <w:szCs w:val="24"/>
        </w:rPr>
        <w:t> SDG&amp;E's </w:t>
      </w:r>
      <w:hyperlink r:id="rId12" w:tgtFrame="_self" w:history="1">
        <w:r w:rsidRPr="00B46B7A">
          <w:rPr>
            <w:rFonts w:ascii="Arial" w:eastAsia="Times New Roman" w:hAnsi="Arial" w:cs="Arial"/>
            <w:color w:val="8B3F1D"/>
            <w:sz w:val="20"/>
            <w:szCs w:val="24"/>
            <w:u w:val="single"/>
          </w:rPr>
          <w:t>Neighbor to Neighbor program</w:t>
        </w:r>
      </w:hyperlink>
      <w:r w:rsidRPr="00B46B7A">
        <w:rPr>
          <w:rFonts w:ascii="Arial" w:eastAsia="Times New Roman" w:hAnsi="Arial" w:cs="Arial"/>
          <w:color w:val="000000"/>
          <w:sz w:val="20"/>
          <w:szCs w:val="24"/>
        </w:rPr>
        <w:t> gives people financial help with their energy bills, and the fund is subsidized by SDG&amp;E shareholders and employees. The money goes toward helping customers who do not qualify for any other assistance programs but can't pay their SDG&amp;E bill due to temporary financial hardship. There is no income requirement but a need must be there, as in the case of temporary unemployment or a serious family illness.   </w:t>
      </w:r>
      <w:r w:rsidRPr="00B46B7A">
        <w:rPr>
          <w:rFonts w:ascii="Arial" w:eastAsia="Times New Roman" w:hAnsi="Arial" w:cs="Arial"/>
          <w:b/>
          <w:bCs/>
          <w:color w:val="000000"/>
          <w:sz w:val="20"/>
          <w:szCs w:val="24"/>
        </w:rPr>
        <w:t>If you need this assistance, call the numbers provided here (utilities also provide their phone numbers on their bills):</w:t>
      </w:r>
    </w:p>
    <w:p w:rsidR="00B46B7A" w:rsidRPr="00B46B7A" w:rsidRDefault="00B46B7A" w:rsidP="00B46B7A">
      <w:pPr>
        <w:spacing w:after="0" w:line="240" w:lineRule="auto"/>
        <w:rPr>
          <w:rFonts w:ascii="Arial" w:eastAsia="Times New Roman" w:hAnsi="Arial" w:cs="Arial"/>
          <w:color w:val="000000"/>
          <w:szCs w:val="24"/>
        </w:rPr>
      </w:pPr>
    </w:p>
    <w:tbl>
      <w:tblPr>
        <w:tblW w:w="6690" w:type="dxa"/>
        <w:jc w:val="center"/>
        <w:tblCellSpacing w:w="0" w:type="dxa"/>
        <w:tblCellMar>
          <w:left w:w="0" w:type="dxa"/>
          <w:right w:w="0" w:type="dxa"/>
        </w:tblCellMar>
        <w:tblLook w:val="04A0" w:firstRow="1" w:lastRow="0" w:firstColumn="1" w:lastColumn="0" w:noHBand="0" w:noVBand="1"/>
        <w:tblDescription w:val="This table is for layout purposes only"/>
      </w:tblPr>
      <w:tblGrid>
        <w:gridCol w:w="2245"/>
        <w:gridCol w:w="4445"/>
      </w:tblGrid>
      <w:tr w:rsidR="00B46B7A" w:rsidRPr="00B46B7A" w:rsidTr="00B46B7A">
        <w:trPr>
          <w:gridAfter w:val="1"/>
          <w:wAfter w:w="4395" w:type="dxa"/>
          <w:tblHeader/>
          <w:tblCellSpacing w:w="0" w:type="dxa"/>
          <w:jc w:val="center"/>
        </w:trPr>
        <w:tc>
          <w:tcPr>
            <w:tcW w:w="0" w:type="auto"/>
            <w:vAlign w:val="center"/>
            <w:hideMark/>
          </w:tcPr>
          <w:p w:rsidR="00B46B7A" w:rsidRPr="00B46B7A" w:rsidRDefault="00B46B7A" w:rsidP="00B46B7A">
            <w:pPr>
              <w:spacing w:after="0" w:line="240" w:lineRule="auto"/>
              <w:jc w:val="center"/>
              <w:rPr>
                <w:rFonts w:ascii="Times New Roman" w:eastAsia="Times New Roman" w:hAnsi="Times New Roman" w:cs="Times New Roman"/>
                <w:b/>
                <w:bCs/>
                <w:szCs w:val="24"/>
              </w:rPr>
            </w:pPr>
          </w:p>
        </w:tc>
      </w:tr>
      <w:tr w:rsidR="00B46B7A" w:rsidRPr="00B46B7A" w:rsidTr="00B46B7A">
        <w:trPr>
          <w:tblCellSpacing w:w="0" w:type="dxa"/>
          <w:jc w:val="center"/>
        </w:trPr>
        <w:tc>
          <w:tcPr>
            <w:tcW w:w="6660" w:type="dxa"/>
            <w:gridSpan w:val="2"/>
            <w:shd w:val="clear" w:color="auto" w:fill="C0C0C0"/>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b/>
                <w:bCs/>
                <w:szCs w:val="24"/>
              </w:rPr>
              <w:t>Phone Numbers for Energy Assistance Programs</w:t>
            </w:r>
          </w:p>
        </w:tc>
      </w:tr>
      <w:tr w:rsidR="00B46B7A" w:rsidRPr="00B46B7A" w:rsidTr="00B46B7A">
        <w:trPr>
          <w:tblCellSpacing w:w="0" w:type="dxa"/>
          <w:jc w:val="center"/>
        </w:trPr>
        <w:tc>
          <w:tcPr>
            <w:tcW w:w="2235" w:type="dxa"/>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b/>
                <w:bCs/>
                <w:szCs w:val="24"/>
              </w:rPr>
              <w:t>Utility</w:t>
            </w:r>
          </w:p>
        </w:tc>
        <w:tc>
          <w:tcPr>
            <w:tcW w:w="4395" w:type="dxa"/>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b/>
                <w:bCs/>
                <w:szCs w:val="24"/>
              </w:rPr>
              <w:t>Emergency Payment</w:t>
            </w:r>
          </w:p>
        </w:tc>
      </w:tr>
      <w:tr w:rsidR="00B46B7A" w:rsidRPr="00B46B7A" w:rsidTr="00B46B7A">
        <w:trPr>
          <w:tblCellSpacing w:w="0" w:type="dxa"/>
          <w:jc w:val="center"/>
        </w:trPr>
        <w:tc>
          <w:tcPr>
            <w:tcW w:w="2235" w:type="dxa"/>
            <w:shd w:val="clear" w:color="auto" w:fill="C0C0C0"/>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PG&amp;E</w:t>
            </w:r>
          </w:p>
        </w:tc>
        <w:tc>
          <w:tcPr>
            <w:tcW w:w="4395" w:type="dxa"/>
            <w:shd w:val="clear" w:color="auto" w:fill="C0C0C0"/>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800-933-9677</w:t>
            </w:r>
          </w:p>
        </w:tc>
      </w:tr>
      <w:tr w:rsidR="00B46B7A" w:rsidRPr="00B46B7A" w:rsidTr="00B46B7A">
        <w:trPr>
          <w:tblCellSpacing w:w="0" w:type="dxa"/>
          <w:jc w:val="center"/>
        </w:trPr>
        <w:tc>
          <w:tcPr>
            <w:tcW w:w="2235" w:type="dxa"/>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Edison</w:t>
            </w:r>
          </w:p>
        </w:tc>
        <w:tc>
          <w:tcPr>
            <w:tcW w:w="4395" w:type="dxa"/>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866-675-6623</w:t>
            </w:r>
          </w:p>
        </w:tc>
      </w:tr>
      <w:tr w:rsidR="00B46B7A" w:rsidRPr="00B46B7A" w:rsidTr="00B46B7A">
        <w:trPr>
          <w:tblCellSpacing w:w="0" w:type="dxa"/>
          <w:jc w:val="center"/>
        </w:trPr>
        <w:tc>
          <w:tcPr>
            <w:tcW w:w="2235" w:type="dxa"/>
            <w:shd w:val="clear" w:color="auto" w:fill="C0C0C0"/>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SDG&amp;E</w:t>
            </w:r>
          </w:p>
        </w:tc>
        <w:tc>
          <w:tcPr>
            <w:tcW w:w="4395" w:type="dxa"/>
            <w:shd w:val="clear" w:color="auto" w:fill="C0C0C0"/>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800-411-7343</w:t>
            </w:r>
          </w:p>
        </w:tc>
      </w:tr>
      <w:tr w:rsidR="00B46B7A" w:rsidRPr="00B46B7A" w:rsidTr="00B46B7A">
        <w:trPr>
          <w:tblCellSpacing w:w="0" w:type="dxa"/>
          <w:jc w:val="center"/>
        </w:trPr>
        <w:tc>
          <w:tcPr>
            <w:tcW w:w="2235" w:type="dxa"/>
            <w:vAlign w:val="center"/>
            <w:hideMark/>
          </w:tcPr>
          <w:p w:rsidR="00B46B7A" w:rsidRPr="00B46B7A" w:rsidRDefault="00B46B7A" w:rsidP="00B46B7A">
            <w:pPr>
              <w:spacing w:after="0" w:line="240" w:lineRule="auto"/>
              <w:rPr>
                <w:rFonts w:ascii="Times New Roman" w:eastAsia="Times New Roman" w:hAnsi="Times New Roman" w:cs="Times New Roman"/>
                <w:szCs w:val="24"/>
              </w:rPr>
            </w:pPr>
            <w:proofErr w:type="spellStart"/>
            <w:r w:rsidRPr="00B46B7A">
              <w:rPr>
                <w:rFonts w:ascii="Times New Roman" w:eastAsia="Times New Roman" w:hAnsi="Times New Roman" w:cs="Times New Roman"/>
                <w:szCs w:val="24"/>
              </w:rPr>
              <w:t>SoCalGas</w:t>
            </w:r>
            <w:proofErr w:type="spellEnd"/>
          </w:p>
        </w:tc>
        <w:tc>
          <w:tcPr>
            <w:tcW w:w="4395" w:type="dxa"/>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800-427-2200</w:t>
            </w:r>
          </w:p>
        </w:tc>
        <w:bookmarkStart w:id="0" w:name="_GoBack"/>
        <w:bookmarkEnd w:id="0"/>
      </w:tr>
      <w:tr w:rsidR="00B46B7A" w:rsidRPr="00B46B7A" w:rsidTr="00B46B7A">
        <w:trPr>
          <w:tblCellSpacing w:w="0" w:type="dxa"/>
          <w:jc w:val="center"/>
        </w:trPr>
        <w:tc>
          <w:tcPr>
            <w:tcW w:w="2235" w:type="dxa"/>
            <w:shd w:val="clear" w:color="auto" w:fill="C0C0C0"/>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Alpine Nat'l Gas</w:t>
            </w:r>
          </w:p>
        </w:tc>
        <w:tc>
          <w:tcPr>
            <w:tcW w:w="4395" w:type="dxa"/>
            <w:shd w:val="clear" w:color="auto" w:fill="C0C0C0"/>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209-772-3006</w:t>
            </w:r>
          </w:p>
        </w:tc>
      </w:tr>
      <w:tr w:rsidR="00B46B7A" w:rsidRPr="00B46B7A" w:rsidTr="00B46B7A">
        <w:trPr>
          <w:tblCellSpacing w:w="0" w:type="dxa"/>
          <w:jc w:val="center"/>
        </w:trPr>
        <w:tc>
          <w:tcPr>
            <w:tcW w:w="2235" w:type="dxa"/>
            <w:vAlign w:val="center"/>
            <w:hideMark/>
          </w:tcPr>
          <w:p w:rsidR="00B46B7A" w:rsidRPr="00B46B7A" w:rsidRDefault="00B46B7A" w:rsidP="00B46B7A">
            <w:pPr>
              <w:spacing w:after="0" w:line="240" w:lineRule="auto"/>
              <w:rPr>
                <w:rFonts w:ascii="Times New Roman" w:eastAsia="Times New Roman" w:hAnsi="Times New Roman" w:cs="Times New Roman"/>
                <w:szCs w:val="24"/>
              </w:rPr>
            </w:pPr>
            <w:proofErr w:type="spellStart"/>
            <w:r w:rsidRPr="00B46B7A">
              <w:rPr>
                <w:rFonts w:ascii="Times New Roman" w:eastAsia="Times New Roman" w:hAnsi="Times New Roman" w:cs="Times New Roman"/>
                <w:szCs w:val="24"/>
              </w:rPr>
              <w:t>Avista</w:t>
            </w:r>
            <w:proofErr w:type="spellEnd"/>
            <w:r w:rsidRPr="00B46B7A">
              <w:rPr>
                <w:rFonts w:ascii="Times New Roman" w:eastAsia="Times New Roman" w:hAnsi="Times New Roman" w:cs="Times New Roman"/>
                <w:szCs w:val="24"/>
              </w:rPr>
              <w:t xml:space="preserve"> Utilities</w:t>
            </w:r>
          </w:p>
        </w:tc>
        <w:tc>
          <w:tcPr>
            <w:tcW w:w="4395" w:type="dxa"/>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800-227-9187</w:t>
            </w:r>
          </w:p>
        </w:tc>
      </w:tr>
      <w:tr w:rsidR="00B46B7A" w:rsidRPr="00B46B7A" w:rsidTr="00B46B7A">
        <w:trPr>
          <w:tblCellSpacing w:w="0" w:type="dxa"/>
          <w:jc w:val="center"/>
        </w:trPr>
        <w:tc>
          <w:tcPr>
            <w:tcW w:w="2235" w:type="dxa"/>
            <w:shd w:val="clear" w:color="auto" w:fill="C0C0C0"/>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Bear Valley Elect</w:t>
            </w:r>
          </w:p>
        </w:tc>
        <w:tc>
          <w:tcPr>
            <w:tcW w:w="4395" w:type="dxa"/>
            <w:shd w:val="clear" w:color="auto" w:fill="C0C0C0"/>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800-808-8237</w:t>
            </w:r>
          </w:p>
        </w:tc>
      </w:tr>
      <w:tr w:rsidR="00B46B7A" w:rsidRPr="00B46B7A" w:rsidTr="00B46B7A">
        <w:trPr>
          <w:tblCellSpacing w:w="0" w:type="dxa"/>
          <w:jc w:val="center"/>
        </w:trPr>
        <w:tc>
          <w:tcPr>
            <w:tcW w:w="2235" w:type="dxa"/>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PacifiCorp</w:t>
            </w:r>
          </w:p>
        </w:tc>
        <w:tc>
          <w:tcPr>
            <w:tcW w:w="4395" w:type="dxa"/>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888-221-7070</w:t>
            </w:r>
          </w:p>
        </w:tc>
      </w:tr>
      <w:tr w:rsidR="00B46B7A" w:rsidRPr="00B46B7A" w:rsidTr="00B46B7A">
        <w:trPr>
          <w:tblCellSpacing w:w="0" w:type="dxa"/>
          <w:jc w:val="center"/>
        </w:trPr>
        <w:tc>
          <w:tcPr>
            <w:tcW w:w="2235" w:type="dxa"/>
            <w:shd w:val="clear" w:color="auto" w:fill="C0C0C0"/>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Sierra Pacific</w:t>
            </w:r>
          </w:p>
        </w:tc>
        <w:tc>
          <w:tcPr>
            <w:tcW w:w="4395" w:type="dxa"/>
            <w:shd w:val="clear" w:color="auto" w:fill="C0C0C0"/>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800-782-2498</w:t>
            </w:r>
          </w:p>
        </w:tc>
      </w:tr>
      <w:tr w:rsidR="00B46B7A" w:rsidRPr="00B46B7A" w:rsidTr="00B46B7A">
        <w:trPr>
          <w:tblCellSpacing w:w="0" w:type="dxa"/>
          <w:jc w:val="center"/>
        </w:trPr>
        <w:tc>
          <w:tcPr>
            <w:tcW w:w="2235" w:type="dxa"/>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Southwest Gas</w:t>
            </w:r>
          </w:p>
        </w:tc>
        <w:tc>
          <w:tcPr>
            <w:tcW w:w="4395" w:type="dxa"/>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800-645-4541</w:t>
            </w:r>
          </w:p>
        </w:tc>
      </w:tr>
      <w:tr w:rsidR="00B46B7A" w:rsidRPr="00B46B7A" w:rsidTr="00B46B7A">
        <w:trPr>
          <w:tblCellSpacing w:w="0" w:type="dxa"/>
          <w:jc w:val="center"/>
        </w:trPr>
        <w:tc>
          <w:tcPr>
            <w:tcW w:w="2235" w:type="dxa"/>
            <w:shd w:val="clear" w:color="auto" w:fill="C0C0C0"/>
            <w:vAlign w:val="center"/>
            <w:hideMark/>
          </w:tcPr>
          <w:p w:rsidR="00B46B7A" w:rsidRPr="00B46B7A" w:rsidRDefault="00B46B7A" w:rsidP="00B46B7A">
            <w:pPr>
              <w:spacing w:after="0" w:line="240" w:lineRule="auto"/>
              <w:rPr>
                <w:rFonts w:ascii="Times New Roman" w:eastAsia="Times New Roman" w:hAnsi="Times New Roman" w:cs="Times New Roman"/>
                <w:szCs w:val="24"/>
              </w:rPr>
            </w:pPr>
            <w:r w:rsidRPr="00B46B7A">
              <w:rPr>
                <w:rFonts w:ascii="Times New Roman" w:eastAsia="Times New Roman" w:hAnsi="Times New Roman" w:cs="Times New Roman"/>
                <w:szCs w:val="24"/>
              </w:rPr>
              <w:t>West Coast Gas</w:t>
            </w:r>
          </w:p>
        </w:tc>
        <w:tc>
          <w:tcPr>
            <w:tcW w:w="4395" w:type="dxa"/>
            <w:shd w:val="clear" w:color="auto" w:fill="C0C0C0"/>
            <w:vAlign w:val="center"/>
            <w:hideMark/>
          </w:tcPr>
          <w:p w:rsidR="00B46B7A" w:rsidRPr="00B46B7A" w:rsidRDefault="00B46B7A" w:rsidP="00B46B7A">
            <w:pPr>
              <w:spacing w:after="0" w:line="240" w:lineRule="auto"/>
              <w:jc w:val="center"/>
              <w:rPr>
                <w:rFonts w:ascii="Times New Roman" w:eastAsia="Times New Roman" w:hAnsi="Times New Roman" w:cs="Times New Roman"/>
                <w:szCs w:val="24"/>
              </w:rPr>
            </w:pPr>
            <w:r w:rsidRPr="00B46B7A">
              <w:rPr>
                <w:rFonts w:ascii="Times New Roman" w:eastAsia="Times New Roman" w:hAnsi="Times New Roman" w:cs="Times New Roman"/>
                <w:szCs w:val="24"/>
              </w:rPr>
              <w:t>916-364-4100</w:t>
            </w:r>
          </w:p>
        </w:tc>
      </w:tr>
    </w:tbl>
    <w:p w:rsidR="00624608" w:rsidRPr="00B46B7A" w:rsidRDefault="00B46B7A">
      <w:pPr>
        <w:rPr>
          <w:sz w:val="20"/>
        </w:rPr>
      </w:pPr>
      <w:r w:rsidRPr="00B46B7A">
        <w:rPr>
          <w:rFonts w:ascii="Arial" w:eastAsia="Times New Roman" w:hAnsi="Arial" w:cs="Arial"/>
          <w:color w:val="000000"/>
          <w:szCs w:val="24"/>
        </w:rPr>
        <w:t>    </w:t>
      </w:r>
    </w:p>
    <w:sectPr w:rsidR="00624608" w:rsidRPr="00B46B7A" w:rsidSect="00B46B7A">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7A"/>
    <w:rsid w:val="00624608"/>
    <w:rsid w:val="00B4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com/residential/income-qualified/eaf/apply-for-eaf.htm?from=08campaig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e.com/CustomerService/billing/payment/level-pay-plan.htm" TargetMode="External"/><Relationship Id="rId12" Type="http://schemas.openxmlformats.org/officeDocument/2006/relationships/hyperlink" Target="http://www.sdge.com/residential/assistance-programs/help-paying-your-bi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ge.com/mybusiness/myaccount/paymentplans/bpp/faq/" TargetMode="External"/><Relationship Id="rId11" Type="http://schemas.openxmlformats.org/officeDocument/2006/relationships/hyperlink" Target="http://www.socalgas.com/assistance/levelpayplan/" TargetMode="External"/><Relationship Id="rId5" Type="http://schemas.openxmlformats.org/officeDocument/2006/relationships/hyperlink" Target="http://www.pge.com/reach/" TargetMode="External"/><Relationship Id="rId10" Type="http://schemas.openxmlformats.org/officeDocument/2006/relationships/hyperlink" Target="http://www.socalgas.com/residential/assistance/gaf/" TargetMode="External"/><Relationship Id="rId4" Type="http://schemas.openxmlformats.org/officeDocument/2006/relationships/webSettings" Target="webSettings.xml"/><Relationship Id="rId9" Type="http://schemas.openxmlformats.org/officeDocument/2006/relationships/hyperlink" Target="http://www.sce.com/residential/rebates-savings/heating-cooling/summer-discount-pla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1</cp:revision>
  <dcterms:created xsi:type="dcterms:W3CDTF">2015-02-18T19:27:00Z</dcterms:created>
  <dcterms:modified xsi:type="dcterms:W3CDTF">2015-02-18T19:28:00Z</dcterms:modified>
</cp:coreProperties>
</file>